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4905610E" w:rsidR="00D07C27" w:rsidRPr="00D57B30" w:rsidRDefault="00BE3286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3 повестки дня. Общие положения о защите данных (обзор GDPR)</w:t>
      </w:r>
    </w:p>
    <w:p w14:paraId="4C084511" w14:textId="12608FCB" w:rsidR="00F21D6A" w:rsidRDefault="00D57B30" w:rsidP="00E15459">
      <w:pPr>
        <w:pStyle w:val="Nagwek2"/>
      </w:pPr>
      <w:r>
        <w:t>Вопросы</w:t>
      </w:r>
    </w:p>
    <w:p w14:paraId="3640AC1E" w14:textId="6C8642D8" w:rsidR="006075B6" w:rsidRDefault="00001658" w:rsidP="00036D48">
      <w:pPr>
        <w:pStyle w:val="Tekstpodstawowy"/>
      </w:pPr>
      <w:r>
        <w:t>Это первое обзорное заседание, посвященное политическим последствиям мер ICANN по соблюдению GDPR. Оно призвано дать GAC возможность проанализировать текущую ситуацию и обсудить наилучшие способы достижения своих целей на конференции ICANN 62.</w:t>
      </w:r>
    </w:p>
    <w:p w14:paraId="29275C1B" w14:textId="22AA3778" w:rsidR="00036D48" w:rsidRDefault="00036D48" w:rsidP="00036D48">
      <w:pPr>
        <w:pStyle w:val="Nagwek2"/>
      </w:pPr>
      <w:r>
        <w:t>Необходимые действия GAC</w:t>
      </w:r>
    </w:p>
    <w:p w14:paraId="0CCF16EE" w14:textId="58149D68" w:rsidR="00583EE4" w:rsidRDefault="00921B8C" w:rsidP="00036D48">
      <w:pPr>
        <w:pStyle w:val="Tekstpodstawowy"/>
      </w:pPr>
      <w:r>
        <w:t>GAC должен рассмотреть в приоритетном порядке:</w:t>
      </w:r>
    </w:p>
    <w:p w14:paraId="60F7874A" w14:textId="130DFEA6" w:rsidR="00921B8C" w:rsidRDefault="00921B8C" w:rsidP="00921B8C">
      <w:pPr>
        <w:pStyle w:val="Tekstpodstawowy"/>
        <w:numPr>
          <w:ilvl w:val="0"/>
          <w:numId w:val="24"/>
        </w:numPr>
      </w:pPr>
      <w:r>
        <w:t>Обязательства и протоколы GAC для решения оставшихся вопросов, касающихся GDPR и WHOIS, в том числе:</w:t>
      </w:r>
    </w:p>
    <w:p w14:paraId="1AEED4D6" w14:textId="62C538F6" w:rsidR="00921B8C" w:rsidRDefault="00D35147" w:rsidP="00921B8C">
      <w:pPr>
        <w:pStyle w:val="Tekstpodstawowy"/>
        <w:numPr>
          <w:ilvl w:val="0"/>
          <w:numId w:val="25"/>
        </w:numPr>
      </w:pPr>
      <w:r>
        <w:t xml:space="preserve">Признание того, что вопрос о защите хороших результатов для общественной политики в данной области необходимо обсудить всем составом GAC при необходимой поддержке со стороны рабочей группы GAC по обеспечению общественной безопасности (PSWG). </w:t>
      </w:r>
    </w:p>
    <w:p w14:paraId="67F596BF" w14:textId="43DE756C" w:rsidR="00921B8C" w:rsidRDefault="00921B8C" w:rsidP="00921B8C">
      <w:pPr>
        <w:pStyle w:val="Tekstpodstawowy"/>
        <w:numPr>
          <w:ilvl w:val="0"/>
          <w:numId w:val="25"/>
        </w:numPr>
      </w:pPr>
      <w:r>
        <w:t>Утверждение координационной группы из членов GAC, чтобы способствовать вкладу GAC в любые процессы разработки политики GNSO, которые могут начаться, и возможно в другие значимые процессы сообщества: в настоящее время волонтерами являются Индия, США, Еврокомиссия и сопредседатели PSWG.</w:t>
      </w:r>
    </w:p>
    <w:p w14:paraId="1E0F068D" w14:textId="67F71AE4" w:rsidR="00921B8C" w:rsidRDefault="00921B8C" w:rsidP="00921B8C">
      <w:pPr>
        <w:pStyle w:val="Tekstpodstawowy"/>
        <w:numPr>
          <w:ilvl w:val="0"/>
          <w:numId w:val="24"/>
        </w:numPr>
      </w:pPr>
      <w:r>
        <w:t xml:space="preserve">Ограничение рекомендаций GAC Правлению по данному вопросу теми областями, в которых Правление действительно может принять меры, и дополнение любой рекомендации активным участием в других процессах, в том числе в любом PDP GNSO. </w:t>
      </w:r>
    </w:p>
    <w:p w14:paraId="305304B5" w14:textId="5ED267EB" w:rsidR="00A25553" w:rsidRDefault="00672691" w:rsidP="00A25553">
      <w:pPr>
        <w:pStyle w:val="Tekstpodstawowy"/>
        <w:numPr>
          <w:ilvl w:val="0"/>
          <w:numId w:val="24"/>
        </w:numPr>
      </w:pPr>
      <w:r>
        <w:t xml:space="preserve">Признание того, что на данный момент значимыми для GAC политическими задачами являются следующие составляющие невыполненных рекомендаций GAC из </w:t>
      </w:r>
      <w:hyperlink r:id="rId8">
        <w:r>
          <w:rPr>
            <w:rStyle w:val="Hipercze"/>
          </w:rPr>
          <w:t>коммюнике по итогам заседаний в Сан-Хуане</w:t>
        </w:r>
      </w:hyperlink>
      <w:r>
        <w:t xml:space="preserve"> (примечание: Правление </w:t>
      </w:r>
      <w:hyperlink r:id="rId9">
        <w:r>
          <w:rPr>
            <w:rStyle w:val="Hipercze"/>
          </w:rPr>
          <w:t>отложило</w:t>
        </w:r>
      </w:hyperlink>
      <w:r>
        <w:rPr>
          <w:rStyle w:val="Odwoanieprzypisudolnego"/>
        </w:rPr>
        <w:footnoteReference w:id="1"/>
      </w:r>
      <w:r>
        <w:t xml:space="preserve"> ответ на эти рекомендации но отразило их суть в </w:t>
      </w:r>
      <w:r>
        <w:rPr>
          <w:i/>
        </w:rPr>
        <w:t>Приложении к временной спецификации: «Важные вопросы, требующие дальнейших действий сообщества»</w:t>
      </w:r>
      <w:r>
        <w:t>):</w:t>
      </w:r>
    </w:p>
    <w:p w14:paraId="4E78987A" w14:textId="2E3E6572" w:rsidR="0080662D" w:rsidRDefault="0080662D" w:rsidP="0080662D">
      <w:pPr>
        <w:pStyle w:val="Tekstpodstawowy"/>
        <w:numPr>
          <w:ilvl w:val="0"/>
          <w:numId w:val="27"/>
        </w:numPr>
      </w:pPr>
      <w:r>
        <w:t>Делать различия между юридическими и физическими лицами, разрешая юридическим лицам, на которых не распространяется действие GDPR, получать открытый доступ к данным WHOIS.</w:t>
      </w:r>
    </w:p>
    <w:p w14:paraId="037E4E66" w14:textId="5D99A8EB" w:rsidR="0080662D" w:rsidRDefault="00A25553" w:rsidP="0080662D">
      <w:pPr>
        <w:pStyle w:val="Tekstpodstawowy"/>
        <w:numPr>
          <w:ilvl w:val="0"/>
          <w:numId w:val="27"/>
        </w:numPr>
      </w:pPr>
      <w:r>
        <w:t>Обязать все стороны, связанные договорными обязательствами, предоставлять пользователям, имеющим законные цели, бесперебойный доступ к данным WHOIS, в том числе к данным, не находящимся в открытом доступе, до тех пор, пока временная модель WHOIS не станет полностью работоспособной.</w:t>
      </w:r>
    </w:p>
    <w:p w14:paraId="1F925CDF" w14:textId="64254263" w:rsidR="0080662D" w:rsidRDefault="00A25553" w:rsidP="0080662D">
      <w:pPr>
        <w:pStyle w:val="Tekstpodstawowy"/>
        <w:numPr>
          <w:ilvl w:val="0"/>
          <w:numId w:val="27"/>
        </w:numPr>
      </w:pPr>
      <w:r>
        <w:t>Обеспечить баланс между ограничениями объема запросов, предусмотренными в программе аккредитации, и практическими потребностями перекрестных расследований.</w:t>
      </w:r>
    </w:p>
    <w:p w14:paraId="104138D1" w14:textId="214ECE06" w:rsidR="0012744C" w:rsidRDefault="00A25553" w:rsidP="0080662D">
      <w:pPr>
        <w:pStyle w:val="Tekstpodstawowy"/>
        <w:numPr>
          <w:ilvl w:val="0"/>
          <w:numId w:val="27"/>
        </w:numPr>
      </w:pPr>
      <w:r>
        <w:lastRenderedPageBreak/>
        <w:t>Обеспечить конфиденциальность запросов к WHOIS, поступающих от правоохранительных органов.</w:t>
      </w:r>
    </w:p>
    <w:p w14:paraId="1A45348A" w14:textId="27A5BF70" w:rsidR="0012744C" w:rsidRDefault="00A25553" w:rsidP="00921B8C">
      <w:pPr>
        <w:pStyle w:val="Tekstpodstawowy"/>
        <w:numPr>
          <w:ilvl w:val="0"/>
          <w:numId w:val="24"/>
        </w:numPr>
      </w:pPr>
      <w:r>
        <w:t>Участие членов GAC и PSWG в соответствующих заседаниях на ICANN 62, в том числе в сквозных заседаниях сообщества, посвященных вопросам соблюдения GDPR, доступа к WHOIS и аккредитации, а также в совещании GAC с Правлением ICANN, для достижения вышеуказанных целей и получения поддержки со стороны сообщества.</w:t>
      </w:r>
    </w:p>
    <w:p w14:paraId="03F9C84A" w14:textId="42D26F47" w:rsidR="00583EE4" w:rsidRDefault="00A25553" w:rsidP="00A25553">
      <w:pPr>
        <w:pStyle w:val="Nagwek2"/>
      </w:pPr>
      <w:r>
        <w:t>Текущее положение дел</w:t>
      </w:r>
    </w:p>
    <w:p w14:paraId="1912C4E0" w14:textId="69B40848" w:rsidR="00AE6E3D" w:rsidRDefault="00AE6E3D" w:rsidP="00D35147">
      <w:pPr>
        <w:pStyle w:val="Tekstpodstawowy"/>
      </w:pPr>
      <w:r>
        <w:t xml:space="preserve">Это сводная информация о сложной совокупности вопросов. Более подробные сведения можно получить на </w:t>
      </w:r>
      <w:hyperlink r:id="rId10">
        <w:r>
          <w:rPr>
            <w:rStyle w:val="Hipercze"/>
          </w:rPr>
          <w:t>сайте GAC</w:t>
        </w:r>
      </w:hyperlink>
      <w:r>
        <w:t xml:space="preserve"> и по приведенным ниже ссылкам.</w:t>
      </w:r>
    </w:p>
    <w:p w14:paraId="1E03D1C2" w14:textId="4FFD1594" w:rsidR="00D35147" w:rsidRDefault="00AE6E3D" w:rsidP="00D35147">
      <w:pPr>
        <w:pStyle w:val="Tekstpodstawowy"/>
      </w:pPr>
      <w:r>
        <w:t xml:space="preserve">Общие положения о защите данных (GDPR) Европейского Союза вступили в силу 25 мая 2018 года. Правление ICANN утвердило </w:t>
      </w:r>
      <w:hyperlink r:id="rId11" w:anchor="annex">
        <w:r>
          <w:rPr>
            <w:rStyle w:val="Hipercze"/>
          </w:rPr>
          <w:t>временную спецификацию</w:t>
        </w:r>
      </w:hyperlink>
      <w:r>
        <w:t xml:space="preserve"> регистрационных данных домена общего пользования верхнего уровня (gTLD) (схему реализации промежуточной модели соблюдения требований GDPR). Это позволяет ICANN, а также регистратурам и регистраторам gTLD соблюдать действующие требования договоров и политики ICANN с учетом GDPR, в частности, в отношении сбора и предоставления данных о владельцах доменов gTLD.</w:t>
      </w:r>
    </w:p>
    <w:p w14:paraId="15CC8D27" w14:textId="7B630081" w:rsidR="00AE6E3D" w:rsidRDefault="00AE6E3D" w:rsidP="00D35147">
      <w:pPr>
        <w:pStyle w:val="Tekstpodstawowy"/>
      </w:pPr>
      <w:r>
        <w:t>Временная спецификация обеспечивает непрерывный сбор регистрационных данных (все еще повсеместно называемых данными WHOIS), но позволяет получить доступ к персональным данным только тем лицам, которые продемонстрировали наличие у них законной цели получения таких данных. Такой ограниченный доступ именуется многоярусной или многоуровневой системой и будет реализован за счет внедрения сторонами, связанными договорными обязательствами, новых схем работы.  В состав таких новых схем скорее всего будет входить система аккредитации пользователей, имеющие законные основания для доступа к данным, и выдачи им учетных данных.</w:t>
      </w:r>
    </w:p>
    <w:p w14:paraId="7649D577" w14:textId="5C5C7772" w:rsidR="00AE6E3D" w:rsidRDefault="00AE6E3D" w:rsidP="00D35147">
      <w:pPr>
        <w:pStyle w:val="Tekstpodstawowy"/>
      </w:pPr>
      <w:r>
        <w:t xml:space="preserve">GAC, при поддержке со стороны своей рабочей группы по обеспечению общественной безопасности, отстаивает сохранение у правоохранительных органов, потребителей и других лиц права доступа к данным WHOIS для защиты общественных интересов. Эта работа включает рекомендации Правлению ICANN и участие в нескольких процессах сообщества, в том числе в общественном обсуждении.  </w:t>
      </w:r>
    </w:p>
    <w:p w14:paraId="625F46A6" w14:textId="29A97B8E" w:rsidR="00192306" w:rsidRDefault="00192306" w:rsidP="00D35147">
      <w:pPr>
        <w:pStyle w:val="Tekstpodstawowy"/>
      </w:pPr>
      <w:r>
        <w:t>Временная спецификация будет оставаться в силе не более 12 месяцев, начиная с 25 мая 2018 года. В течение этого срока:</w:t>
      </w:r>
    </w:p>
    <w:p w14:paraId="65F5D0CC" w14:textId="2AE6B3C7" w:rsidR="00192306" w:rsidRDefault="00192306" w:rsidP="00192306">
      <w:pPr>
        <w:pStyle w:val="Tekstpodstawowy"/>
        <w:numPr>
          <w:ilvl w:val="0"/>
          <w:numId w:val="28"/>
        </w:numPr>
      </w:pPr>
      <w:r>
        <w:t>Правление будет обновлять спецификацию каждые 90 дней и вносить в нее поправки, в том числе и на основании рекомендаций GAC.</w:t>
      </w:r>
    </w:p>
    <w:p w14:paraId="6F8BA45F" w14:textId="63FA4E4B" w:rsidR="00192306" w:rsidRPr="00D35147" w:rsidRDefault="00192306" w:rsidP="00192306">
      <w:pPr>
        <w:pStyle w:val="Tekstpodstawowy"/>
        <w:numPr>
          <w:ilvl w:val="0"/>
          <w:numId w:val="28"/>
        </w:numPr>
      </w:pPr>
      <w:r>
        <w:t xml:space="preserve">Одним из рассматриваемых Советом GNSO вариантов, позволяющих дать рекомендации по политике в отношении вопросов, охваченных в спецификации, является </w:t>
      </w:r>
      <w:hyperlink r:id="rId12">
        <w:r>
          <w:rPr>
            <w:rStyle w:val="Hipercze"/>
          </w:rPr>
          <w:t>ускоренный процесс формирования политики GNSO</w:t>
        </w:r>
      </w:hyperlink>
      <w:r>
        <w:t xml:space="preserve"> (EPDP). Детали этого, в том числе возможности участия организаций поддержки и консультативных комитетов, еще не до конца определены Советом GNSO.</w:t>
      </w:r>
    </w:p>
    <w:p w14:paraId="032E5BE9" w14:textId="3465E936" w:rsidR="00AB2562" w:rsidRDefault="00241C6F" w:rsidP="00312951">
      <w:pPr>
        <w:pStyle w:val="Tekstpodstawowy"/>
        <w:keepNext/>
        <w:keepLines/>
      </w:pPr>
      <w:r>
        <w:lastRenderedPageBreak/>
        <w:t xml:space="preserve">В спецификации учтены некоторые рекомендации GAC из коммюнике по результатам заседаний в Сан-Хуане, а ответ еще на четыре рекомендации отложен до проведения дополнительной дискуссии между Правлением и GAC (см. выше). Сюда относятся еще не до конца решенные вопросы, хотя пока неясно, удастся ли их отразить в спецификации в течение следующих 12 месяцев, или они будут переданы на рассмотрение во время EPDP. Они перечислены ниже: </w:t>
      </w:r>
    </w:p>
    <w:p w14:paraId="5AF44832" w14:textId="77777777" w:rsidR="00AB2562" w:rsidRPr="00AB2562" w:rsidRDefault="00AB2562" w:rsidP="00AB2562">
      <w:pPr>
        <w:numPr>
          <w:ilvl w:val="0"/>
          <w:numId w:val="23"/>
        </w:numPr>
        <w:shd w:val="clear" w:color="auto" w:fill="FFFFFF"/>
        <w:spacing w:after="225"/>
        <w:ind w:left="1020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</w:rPr>
        <w:t>Согласно Разделу 4.4, продолжение разработки сообществом модели аккредитации и обеспечения доступа, которая отвечает требованиям GDPR, с признанием необходимости получения дополнительных указаний от Рабочей группы 29-й статьи/Европейского совета по защите данных.</w:t>
      </w:r>
    </w:p>
    <w:p w14:paraId="68827E34" w14:textId="77777777" w:rsidR="00AB2562" w:rsidRPr="00AB2562" w:rsidRDefault="00AB2562" w:rsidP="00AB2562">
      <w:pPr>
        <w:numPr>
          <w:ilvl w:val="0"/>
          <w:numId w:val="23"/>
        </w:numPr>
        <w:shd w:val="clear" w:color="auto" w:fill="FFFFFF"/>
        <w:spacing w:after="225"/>
        <w:ind w:left="1020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</w:rPr>
        <w:t>Рассмотрение возможности обязать уникальных контактных лиц иметь единый обезличенный адрес электронной почты для всех доменных имен, зарегистрированных у конкретного регистратора, обеспечивая при этом безопасность/стабильность и выполняя требования раздела 2.5.1 Приложения А.</w:t>
      </w:r>
    </w:p>
    <w:p w14:paraId="71307B23" w14:textId="5C634487" w:rsidR="00AB2562" w:rsidRPr="00AB2562" w:rsidRDefault="00AB2562" w:rsidP="00312951">
      <w:pPr>
        <w:numPr>
          <w:ilvl w:val="0"/>
          <w:numId w:val="23"/>
        </w:numPr>
        <w:shd w:val="clear" w:color="auto" w:fill="FFFFFF"/>
        <w:spacing w:after="225"/>
        <w:ind w:left="1020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</w:rPr>
        <w:t>Разработка методов предоставления потенциальным истцам URS и UDRP доступа к</w:t>
      </w:r>
      <w:r w:rsidR="00312951">
        <w:rPr>
          <w:rFonts w:ascii="Century Gothic" w:hAnsi="Century Gothic"/>
          <w:color w:val="333333"/>
          <w:sz w:val="20"/>
          <w:lang w:val="pl-PL"/>
        </w:rPr>
        <w:t> </w:t>
      </w:r>
      <w:r>
        <w:rPr>
          <w:rFonts w:ascii="Century Gothic" w:hAnsi="Century Gothic"/>
          <w:color w:val="333333"/>
          <w:sz w:val="20"/>
        </w:rPr>
        <w:t>регистрационным данным в достаточном для добросовестной подачи жалоб объеме.</w:t>
      </w:r>
    </w:p>
    <w:p w14:paraId="6BF0DD48" w14:textId="77777777" w:rsidR="00AB2562" w:rsidRPr="00AB2562" w:rsidRDefault="00AB2562" w:rsidP="00AB2562">
      <w:pPr>
        <w:numPr>
          <w:ilvl w:val="0"/>
          <w:numId w:val="23"/>
        </w:numPr>
        <w:shd w:val="clear" w:color="auto" w:fill="FFFFFF"/>
        <w:spacing w:after="225"/>
        <w:ind w:left="1020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</w:rPr>
        <w:t>Последовательный процесс бесперебойного доступа пользователей с правомерными целями к регистрационным данным, в том числе к закрытым данным, до тех пор пока не начнет полностью действовать итоговый механизм аккредитации и обеспечения доступа, обязательный для всех сторон, связанных договорными обязательствами.</w:t>
      </w:r>
    </w:p>
    <w:p w14:paraId="1265FED5" w14:textId="77777777" w:rsidR="00AB2562" w:rsidRPr="00AB2562" w:rsidRDefault="00AB2562" w:rsidP="00AB2562">
      <w:pPr>
        <w:numPr>
          <w:ilvl w:val="0"/>
          <w:numId w:val="23"/>
        </w:numPr>
        <w:shd w:val="clear" w:color="auto" w:fill="FFFFFF"/>
        <w:spacing w:after="225"/>
        <w:ind w:left="1020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</w:rPr>
        <w:t>Разделение юридических и физических лиц с предоставлением юридическим лицам, на которых не распространяется действие GDPR, возможности открытого доступа к данным WHOIS.</w:t>
      </w:r>
    </w:p>
    <w:p w14:paraId="6DEDE59A" w14:textId="77777777" w:rsidR="00AB2562" w:rsidRPr="00AB2562" w:rsidRDefault="00AB2562" w:rsidP="00AB2562">
      <w:pPr>
        <w:numPr>
          <w:ilvl w:val="0"/>
          <w:numId w:val="23"/>
        </w:numPr>
        <w:shd w:val="clear" w:color="auto" w:fill="FFFFFF"/>
        <w:spacing w:after="225"/>
        <w:ind w:left="1020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</w:rPr>
        <w:t>Поиск баланса между ограничениями объема запросов, предусмотренными в программе аккредитации, и практическими потребностями перекрестных расследований.</w:t>
      </w:r>
    </w:p>
    <w:p w14:paraId="36E83DEF" w14:textId="3F3B4DEB" w:rsidR="00962727" w:rsidRPr="00241C6F" w:rsidRDefault="00AB2562" w:rsidP="00036D48">
      <w:pPr>
        <w:numPr>
          <w:ilvl w:val="0"/>
          <w:numId w:val="23"/>
        </w:numPr>
        <w:shd w:val="clear" w:color="auto" w:fill="FFFFFF"/>
        <w:spacing w:after="225"/>
        <w:ind w:left="1020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</w:rPr>
        <w:t>Конфиденциальность запросов на регистрационные данные со стороны правоохранительных органов.</w:t>
      </w:r>
    </w:p>
    <w:p w14:paraId="1A6AE836" w14:textId="4F6DFEE4" w:rsidR="00036D48" w:rsidRPr="00E42E83" w:rsidRDefault="00E42E83" w:rsidP="00036D48">
      <w:pPr>
        <w:pStyle w:val="Tekstpodstawowy"/>
        <w:rPr>
          <w:b/>
        </w:rPr>
      </w:pPr>
      <w:r>
        <w:rPr>
          <w:b/>
        </w:rPr>
        <w:t>Важные заседания на ICANN 62</w:t>
      </w:r>
    </w:p>
    <w:p w14:paraId="779AA083" w14:textId="306A05DE" w:rsidR="007E013D" w:rsidRDefault="00E42E83" w:rsidP="00036D48">
      <w:pPr>
        <w:pStyle w:val="Tekstpodstawowy"/>
      </w:pPr>
      <w:r>
        <w:t>Понедельник, 25 июня: заседание GAC — обзор GDPR</w:t>
      </w:r>
    </w:p>
    <w:p w14:paraId="5737E099" w14:textId="67C20E10" w:rsidR="00E42E83" w:rsidRDefault="00E42E83" w:rsidP="00036D48">
      <w:pPr>
        <w:pStyle w:val="Tekstpodstawowy"/>
      </w:pPr>
      <w:r>
        <w:t>Понедельник, 25 июня: рассмотрение темы, представляющей особый интерес, — отчет второй группы по анализу RDS-WHOIS</w:t>
      </w:r>
    </w:p>
    <w:p w14:paraId="1FDBE363" w14:textId="02F1E3EB" w:rsidR="007E013D" w:rsidRDefault="00E42E83" w:rsidP="00036D48">
      <w:pPr>
        <w:pStyle w:val="Tekstpodstawowy"/>
      </w:pPr>
      <w:r>
        <w:t>Вторник, 26 июня: заседание GAC — обсуждение GDPR (1)</w:t>
      </w:r>
    </w:p>
    <w:p w14:paraId="10AB7902" w14:textId="3AE05C54" w:rsidR="00F8151B" w:rsidRDefault="00E42E83" w:rsidP="00036D48">
      <w:pPr>
        <w:pStyle w:val="Tekstpodstawowy"/>
      </w:pPr>
      <w:r>
        <w:t>Вторник, 26 июня: сквозные заседания сообщества (</w:t>
      </w:r>
      <w:r>
        <w:rPr>
          <w:b/>
        </w:rPr>
        <w:t>Примечание</w:t>
      </w:r>
      <w:r>
        <w:t>: детали еще не определены окончательно. Вероятно, будут охвачены вопросы, представляющие интерес для GAC, но также планируется рассмотреть и другие вопросы, в том числе рекомендации регистратурам и регистраторам по схемам и затратам, связанным с соблюдением требований.)</w:t>
      </w:r>
    </w:p>
    <w:p w14:paraId="68A4542E" w14:textId="49A06CF1" w:rsidR="00F8151B" w:rsidRDefault="00F8151B" w:rsidP="00F8151B">
      <w:pPr>
        <w:pStyle w:val="Tekstpodstawowy"/>
        <w:numPr>
          <w:ilvl w:val="0"/>
          <w:numId w:val="30"/>
        </w:numPr>
      </w:pPr>
      <w:r>
        <w:t>Политика WHOIS/RDS после введения GDPR</w:t>
      </w:r>
    </w:p>
    <w:p w14:paraId="1E98AC82" w14:textId="659B3E37" w:rsidR="00E42E83" w:rsidRDefault="00F8151B" w:rsidP="00F8151B">
      <w:pPr>
        <w:pStyle w:val="Tekstpodstawowy"/>
        <w:numPr>
          <w:ilvl w:val="0"/>
          <w:numId w:val="29"/>
        </w:numPr>
      </w:pPr>
      <w:r>
        <w:t xml:space="preserve">Аккредитация и доступ к закрытым данным WHOIS после введения GDPR </w:t>
      </w:r>
    </w:p>
    <w:p w14:paraId="1639B0B8" w14:textId="4CF70B58" w:rsidR="00E42E83" w:rsidRDefault="00E42E83" w:rsidP="00036D48">
      <w:pPr>
        <w:pStyle w:val="Tekstpodstawowy"/>
      </w:pPr>
      <w:r>
        <w:lastRenderedPageBreak/>
        <w:t>Среда, 27 июня: заседание GAC — обсуждение GDPR (2)</w:t>
      </w:r>
    </w:p>
    <w:p w14:paraId="3C7B01FD" w14:textId="1B1D9BC6" w:rsidR="00E42E83" w:rsidRDefault="00E42E83" w:rsidP="00036D48">
      <w:pPr>
        <w:pStyle w:val="Tekstpodstawowy"/>
      </w:pPr>
      <w:r>
        <w:t>Среда, 27 июня: совещание GAC с Правлением ICANN</w:t>
      </w:r>
    </w:p>
    <w:p w14:paraId="59EDABC8" w14:textId="4C42E39F" w:rsidR="00E42E83" w:rsidRDefault="00E42E83" w:rsidP="00036D48">
      <w:pPr>
        <w:pStyle w:val="Tekstpodstawowy"/>
      </w:pPr>
      <w:r>
        <w:t>Среда, 27 июня: составление коммюнике GAC</w:t>
      </w:r>
    </w:p>
    <w:p w14:paraId="3D233430" w14:textId="3EC9DECB" w:rsidR="00F8151B" w:rsidRPr="00036D48" w:rsidRDefault="00F8151B" w:rsidP="00036D48">
      <w:pPr>
        <w:pStyle w:val="Tekstpodstawowy"/>
      </w:pPr>
      <w:r>
        <w:t>Четверг, 28 июня: временная спецификация для регистрационных данных в gTLD</w:t>
      </w:r>
    </w:p>
    <w:p w14:paraId="3AF578CE" w14:textId="4723B32A" w:rsidR="00EF36F3" w:rsidRDefault="00EF36F3" w:rsidP="00EF36F3">
      <w:pPr>
        <w:pStyle w:val="Nagwek2"/>
      </w:pPr>
      <w:r>
        <w:t>Дополнительная информация</w:t>
      </w:r>
    </w:p>
    <w:p w14:paraId="3F9D23A1" w14:textId="4BFA94CB" w:rsidR="00EF36F3" w:rsidRDefault="009C27A4" w:rsidP="00EF36F3">
      <w:pPr>
        <w:pStyle w:val="Tekstpodstawowy"/>
      </w:pPr>
      <w:hyperlink r:id="rId13">
        <w:r w:rsidR="00A712FE">
          <w:rPr>
            <w:rStyle w:val="Hipercze"/>
          </w:rPr>
          <w:t>Сайт GAC</w:t>
        </w:r>
      </w:hyperlink>
    </w:p>
    <w:p w14:paraId="672B2096" w14:textId="31944752" w:rsidR="009A63F4" w:rsidRDefault="009C27A4" w:rsidP="00EF36F3">
      <w:pPr>
        <w:pStyle w:val="Tekstpodstawowy"/>
      </w:pPr>
      <w:hyperlink r:id="rId14">
        <w:r w:rsidR="00A712FE">
          <w:rPr>
            <w:rStyle w:val="Hipercze"/>
          </w:rPr>
          <w:t>Страница сайта ICANN, посвященная защите персональных данных</w:t>
        </w:r>
      </w:hyperlink>
    </w:p>
    <w:p w14:paraId="30102AEC" w14:textId="11DF8BDB" w:rsidR="00BF4CFB" w:rsidRDefault="009C27A4" w:rsidP="00EF36F3">
      <w:pPr>
        <w:pStyle w:val="Tekstpodstawowy"/>
      </w:pPr>
      <w:hyperlink r:id="rId15">
        <w:r w:rsidR="00A712FE">
          <w:rPr>
            <w:rStyle w:val="Hipercze"/>
          </w:rPr>
          <w:t>Программа конференции ICANN 62</w:t>
        </w:r>
      </w:hyperlink>
    </w:p>
    <w:p w14:paraId="0A190E78" w14:textId="636B0FC5" w:rsidR="00E15459" w:rsidRDefault="00E15459" w:rsidP="00E15459">
      <w:pPr>
        <w:pStyle w:val="Nagwek2"/>
      </w:pPr>
      <w:bookmarkStart w:id="0" w:name="_Hlk484433727"/>
      <w:bookmarkStart w:id="1" w:name="_GoBack"/>
      <w:bookmarkEnd w:id="1"/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617EDD3A" w14:textId="0BC17ACD" w:rsidR="00E15459" w:rsidRPr="00EA3A02" w:rsidRDefault="00E42E83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Обзор GDPR</w:t>
            </w:r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6B70A6D6" w14:textId="00CBB9C0" w:rsidR="00E15459" w:rsidRPr="003F43E3" w:rsidRDefault="00A25553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6 июня 2018 года</w:t>
            </w:r>
          </w:p>
        </w:tc>
      </w:tr>
      <w:bookmarkEnd w:id="0"/>
    </w:tbl>
    <w:p w14:paraId="33DD9A1F" w14:textId="0FB73C68" w:rsidR="005B7B51" w:rsidRDefault="005B7B51" w:rsidP="00E15459">
      <w:pPr>
        <w:pStyle w:val="Tekstpodstawowy"/>
        <w:ind w:right="545"/>
      </w:pPr>
    </w:p>
    <w:sectPr w:rsidR="005B7B51" w:rsidSect="007A174E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1BF4" w14:textId="77777777" w:rsidR="009C27A4" w:rsidRDefault="009C27A4" w:rsidP="00A24449">
      <w:r>
        <w:separator/>
      </w:r>
    </w:p>
  </w:endnote>
  <w:endnote w:type="continuationSeparator" w:id="0">
    <w:p w14:paraId="57274B57" w14:textId="77777777" w:rsidR="009C27A4" w:rsidRDefault="009C27A4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Default="00776376" w:rsidP="002276FD">
    <w:pPr>
      <w:pStyle w:val="Stopka"/>
      <w:ind w:left="-567" w:right="261"/>
    </w:pPr>
  </w:p>
  <w:p w14:paraId="1F6A8333" w14:textId="215AABE7" w:rsidR="00776376" w:rsidRPr="00B026C8" w:rsidRDefault="00776376" w:rsidP="00312951">
    <w:pPr>
      <w:pBdr>
        <w:top w:val="single" w:sz="18" w:space="1" w:color="1F497D"/>
      </w:pBdr>
      <w:spacing w:before="240"/>
      <w:ind w:right="545"/>
      <w:jc w:val="right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</w:rPr>
      <w:t xml:space="preserve">       </w:t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 w:rsidR="00312951">
      <w:tab/>
    </w:r>
    <w:r w:rsidR="00312951">
      <w:tab/>
    </w:r>
    <w:r w:rsidR="00312951">
      <w:tab/>
    </w:r>
    <w:r w:rsidR="00312951">
      <w:tab/>
    </w:r>
    <w:r w:rsidR="00312951">
      <w:tab/>
    </w:r>
    <w:r w:rsidR="00312951">
      <w:tab/>
    </w:r>
    <w:r w:rsidR="00312951"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7165C">
      <w:rPr>
        <w:rFonts w:ascii="Century Gothic" w:hAnsi="Century Gothic"/>
        <w:noProof/>
        <w:color w:val="00408E"/>
        <w:sz w:val="16"/>
        <w:szCs w:val="16"/>
      </w:rPr>
      <w:t>3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7165C">
      <w:rPr>
        <w:rFonts w:ascii="Century Gothic" w:hAnsi="Century Gothic"/>
        <w:noProof/>
        <w:color w:val="00408E"/>
        <w:sz w:val="16"/>
        <w:szCs w:val="16"/>
      </w:rPr>
      <w:t>4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776376" w:rsidRPr="000C0FD7" w:rsidRDefault="00776376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E5DB" w14:textId="77777777" w:rsidR="009C27A4" w:rsidRDefault="009C27A4" w:rsidP="00A24449">
      <w:r>
        <w:separator/>
      </w:r>
    </w:p>
  </w:footnote>
  <w:footnote w:type="continuationSeparator" w:id="0">
    <w:p w14:paraId="035CC687" w14:textId="77777777" w:rsidR="009C27A4" w:rsidRDefault="009C27A4" w:rsidP="00A24449">
      <w:r>
        <w:continuationSeparator/>
      </w:r>
    </w:p>
  </w:footnote>
  <w:footnote w:id="1">
    <w:p w14:paraId="68AA3F06" w14:textId="77777777" w:rsidR="009A63F4" w:rsidRPr="009A63F4" w:rsidRDefault="009A63F4" w:rsidP="009A63F4">
      <w:pPr>
        <w:rPr>
          <w:rFonts w:ascii="Century Gothic" w:hAnsi="Century Gothic"/>
          <w:sz w:val="18"/>
          <w:szCs w:val="18"/>
          <w:lang w:val="en-AU"/>
        </w:rPr>
      </w:pPr>
      <w:r>
        <w:rPr>
          <w:rStyle w:val="Odwoanieprzypisudolnego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Резолюция </w:t>
      </w:r>
      <w:r>
        <w:rPr>
          <w:rFonts w:ascii="Century Gothic" w:hAnsi="Century Gothic"/>
          <w:color w:val="333333"/>
          <w:sz w:val="18"/>
          <w:shd w:val="clear" w:color="auto" w:fill="FFFFFF"/>
        </w:rPr>
        <w:t>2018.05.17.09</w:t>
      </w:r>
    </w:p>
    <w:p w14:paraId="1FB2852A" w14:textId="3773DC85" w:rsidR="009A63F4" w:rsidRDefault="009A63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3794C30E" w:rsidR="00776376" w:rsidRDefault="00312951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16382490">
              <wp:simplePos x="0" y="0"/>
              <wp:positionH relativeFrom="column">
                <wp:posOffset>4370120</wp:posOffset>
              </wp:positionH>
              <wp:positionV relativeFrom="paragraph">
                <wp:posOffset>223421</wp:posOffset>
              </wp:positionV>
              <wp:extent cx="1506740" cy="332509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740" cy="332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4.1pt;margin-top:17.6pt;width:118.65pt;height:2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" stroked="f">
              <v:textbox>
                <w:txbxContent>
                  <w:p w14:paraId="46E2D9AF" w14:textId="77777777" w:rsidR="00776376" w:rsidRPr="00A12C22" w:rsidRDefault="00776376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776376">
      <w:rPr>
        <w:noProof/>
        <w:lang w:val="pl-PL" w:eastAsia="ja-JP" w:bidi="ar-SA"/>
      </w:rPr>
      <w:drawing>
        <wp:inline distT="0" distB="0" distL="0" distR="0" wp14:anchorId="2EFA62C4" wp14:editId="5CDF408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E09C1"/>
    <w:multiLevelType w:val="hybridMultilevel"/>
    <w:tmpl w:val="E76A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D54EB"/>
    <w:multiLevelType w:val="hybridMultilevel"/>
    <w:tmpl w:val="2158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7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25"/>
  </w:num>
  <w:num w:numId="14">
    <w:abstractNumId w:val="13"/>
  </w:num>
  <w:num w:numId="15">
    <w:abstractNumId w:val="19"/>
  </w:num>
  <w:num w:numId="16">
    <w:abstractNumId w:val="20"/>
  </w:num>
  <w:num w:numId="17">
    <w:abstractNumId w:val="10"/>
  </w:num>
  <w:num w:numId="18">
    <w:abstractNumId w:val="18"/>
  </w:num>
  <w:num w:numId="19">
    <w:abstractNumId w:val="23"/>
  </w:num>
  <w:num w:numId="20">
    <w:abstractNumId w:val="29"/>
  </w:num>
  <w:num w:numId="21">
    <w:abstractNumId w:val="24"/>
  </w:num>
  <w:num w:numId="22">
    <w:abstractNumId w:val="21"/>
  </w:num>
  <w:num w:numId="23">
    <w:abstractNumId w:val="12"/>
  </w:num>
  <w:num w:numId="24">
    <w:abstractNumId w:val="27"/>
  </w:num>
  <w:num w:numId="25">
    <w:abstractNumId w:val="17"/>
  </w:num>
  <w:num w:numId="26">
    <w:abstractNumId w:val="28"/>
  </w:num>
  <w:num w:numId="27">
    <w:abstractNumId w:val="22"/>
  </w:num>
  <w:num w:numId="28">
    <w:abstractNumId w:val="16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1658"/>
    <w:rsid w:val="00017DDB"/>
    <w:rsid w:val="00023512"/>
    <w:rsid w:val="0002714F"/>
    <w:rsid w:val="000328A2"/>
    <w:rsid w:val="00036D48"/>
    <w:rsid w:val="00061B16"/>
    <w:rsid w:val="00083BC8"/>
    <w:rsid w:val="00085123"/>
    <w:rsid w:val="000964B7"/>
    <w:rsid w:val="000966BB"/>
    <w:rsid w:val="000B4BF2"/>
    <w:rsid w:val="000C0FD7"/>
    <w:rsid w:val="000C5167"/>
    <w:rsid w:val="000C6B2E"/>
    <w:rsid w:val="00114EBF"/>
    <w:rsid w:val="0012744C"/>
    <w:rsid w:val="00130A75"/>
    <w:rsid w:val="00137BBE"/>
    <w:rsid w:val="001577F4"/>
    <w:rsid w:val="0016195D"/>
    <w:rsid w:val="00192306"/>
    <w:rsid w:val="001B337F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A3393"/>
    <w:rsid w:val="002B694A"/>
    <w:rsid w:val="002B77F7"/>
    <w:rsid w:val="002F7386"/>
    <w:rsid w:val="00302AA4"/>
    <w:rsid w:val="00312951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656DC"/>
    <w:rsid w:val="00477F27"/>
    <w:rsid w:val="00481300"/>
    <w:rsid w:val="00482610"/>
    <w:rsid w:val="004837E2"/>
    <w:rsid w:val="00492E56"/>
    <w:rsid w:val="00495CB5"/>
    <w:rsid w:val="004A58B8"/>
    <w:rsid w:val="004D747F"/>
    <w:rsid w:val="004E22C7"/>
    <w:rsid w:val="004E2498"/>
    <w:rsid w:val="004E28DA"/>
    <w:rsid w:val="0051347B"/>
    <w:rsid w:val="00546686"/>
    <w:rsid w:val="0057165C"/>
    <w:rsid w:val="00577F86"/>
    <w:rsid w:val="00580A87"/>
    <w:rsid w:val="00583EE4"/>
    <w:rsid w:val="005B7B51"/>
    <w:rsid w:val="005E2917"/>
    <w:rsid w:val="006075B6"/>
    <w:rsid w:val="00624AEC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E013D"/>
    <w:rsid w:val="007F5CD3"/>
    <w:rsid w:val="0080662D"/>
    <w:rsid w:val="00815A76"/>
    <w:rsid w:val="00817EAC"/>
    <w:rsid w:val="008246F4"/>
    <w:rsid w:val="00846BA1"/>
    <w:rsid w:val="00854588"/>
    <w:rsid w:val="008822A3"/>
    <w:rsid w:val="00882354"/>
    <w:rsid w:val="00896848"/>
    <w:rsid w:val="008A2A22"/>
    <w:rsid w:val="008B2849"/>
    <w:rsid w:val="008C4F95"/>
    <w:rsid w:val="009123B6"/>
    <w:rsid w:val="00921AAD"/>
    <w:rsid w:val="00921B8C"/>
    <w:rsid w:val="00962727"/>
    <w:rsid w:val="00974BD6"/>
    <w:rsid w:val="0099631A"/>
    <w:rsid w:val="009A63F4"/>
    <w:rsid w:val="009C27A4"/>
    <w:rsid w:val="009C77A8"/>
    <w:rsid w:val="00A07882"/>
    <w:rsid w:val="00A12C22"/>
    <w:rsid w:val="00A24449"/>
    <w:rsid w:val="00A25553"/>
    <w:rsid w:val="00A40DB0"/>
    <w:rsid w:val="00A55D0C"/>
    <w:rsid w:val="00A660EB"/>
    <w:rsid w:val="00A712FE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21330"/>
    <w:rsid w:val="00B22FE8"/>
    <w:rsid w:val="00B5489D"/>
    <w:rsid w:val="00B7292B"/>
    <w:rsid w:val="00B72D49"/>
    <w:rsid w:val="00BA0533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87641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35147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1B66"/>
    <w:rsid w:val="00DE621B"/>
    <w:rsid w:val="00DF0C5D"/>
    <w:rsid w:val="00DF27CF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7196B"/>
    <w:rsid w:val="00E82F0C"/>
    <w:rsid w:val="00E9134A"/>
    <w:rsid w:val="00E954EC"/>
    <w:rsid w:val="00EA3A02"/>
    <w:rsid w:val="00EC3C37"/>
    <w:rsid w:val="00EE2665"/>
    <w:rsid w:val="00EF36F3"/>
    <w:rsid w:val="00F21D6A"/>
    <w:rsid w:val="00F42A85"/>
    <w:rsid w:val="00F4462E"/>
    <w:rsid w:val="00F46F4F"/>
    <w:rsid w:val="00F8151B"/>
    <w:rsid w:val="00F96D2C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459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rsid w:val="00302AA4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contentMigrated/icann61-gac-communique" TargetMode="External"/><Relationship Id="rId13" Type="http://schemas.openxmlformats.org/officeDocument/2006/relationships/hyperlink" Target="https://gac.icann.org/activity/whois-compliance-with-gdpr-referenc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nso.icann.org/sites/default/files/file/field-file-attach/annex-4-epdp-manual-30jan18-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ann.org/resources/pages/gtld-registration-data-specs-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62.schedule.icann.org/" TargetMode="External"/><Relationship Id="rId10" Type="http://schemas.openxmlformats.org/officeDocument/2006/relationships/hyperlink" Target="https://gac.icann.org/activity/whois-compliance-with-gdpr-referenc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cann.org/resources/board-material/resolutions-2018-05-17-en" TargetMode="External"/><Relationship Id="rId14" Type="http://schemas.openxmlformats.org/officeDocument/2006/relationships/hyperlink" Target="https://www.icann.org/dataprotection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9261-F8FE-4B71-9577-582660CC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8517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4</cp:revision>
  <cp:lastPrinted>2018-06-21T10:26:00Z</cp:lastPrinted>
  <dcterms:created xsi:type="dcterms:W3CDTF">2018-06-13T08:51:00Z</dcterms:created>
  <dcterms:modified xsi:type="dcterms:W3CDTF">2018-06-21T10:26:00Z</dcterms:modified>
</cp:coreProperties>
</file>